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3C" w:rsidRPr="005D513C" w:rsidRDefault="005D513C" w:rsidP="005D513C">
      <w:pPr>
        <w:spacing w:before="100" w:beforeAutospacing="1" w:after="100" w:afterAutospacing="1" w:line="288" w:lineRule="atLeast"/>
        <w:jc w:val="center"/>
        <w:outlineLvl w:val="1"/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</w:pPr>
      <w:bookmarkStart w:id="0" w:name="_GoBack"/>
      <w:bookmarkEnd w:id="0"/>
      <w:r w:rsidRPr="005D513C"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  <w:t>Pravilnik o mjerilima za izračun naknade za izvanredni prijevoz</w:t>
      </w:r>
    </w:p>
    <w:p w:rsidR="005D513C" w:rsidRPr="005D513C" w:rsidRDefault="005D513C" w:rsidP="005D513C">
      <w:pPr>
        <w:spacing w:beforeAutospacing="1" w:after="100" w:afterAutospacing="1" w:line="240" w:lineRule="auto"/>
        <w:jc w:val="center"/>
        <w:outlineLvl w:val="2"/>
        <w:rPr>
          <w:rFonts w:ascii="Calibri" w:eastAsia="Times New Roman" w:hAnsi="Calibri" w:cs="Helvetica"/>
          <w:b/>
          <w:bCs/>
          <w:vanish/>
          <w:color w:val="666666"/>
          <w:sz w:val="27"/>
          <w:szCs w:val="27"/>
          <w:lang w:eastAsia="hr-HR"/>
        </w:rPr>
      </w:pPr>
      <w:r w:rsidRPr="005D513C">
        <w:rPr>
          <w:rFonts w:ascii="Calibri" w:eastAsia="Times New Roman" w:hAnsi="Calibri" w:cs="Helvetica"/>
          <w:b/>
          <w:bCs/>
          <w:vanish/>
          <w:color w:val="666666"/>
          <w:sz w:val="27"/>
          <w:szCs w:val="27"/>
          <w:lang w:eastAsia="hr-HR"/>
        </w:rPr>
        <w:t>NN 68/2010 (2.6.2010.), Pravilnik o mjerilima za izračun naknade za izvanredni prijevoz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caps/>
          <w:color w:val="000000"/>
          <w:sz w:val="40"/>
          <w:szCs w:val="40"/>
          <w:lang w:eastAsia="hr-HR"/>
        </w:rPr>
      </w:pPr>
      <w:r w:rsidRPr="005D513C">
        <w:rPr>
          <w:rFonts w:ascii="Calibri" w:eastAsia="Times New Roman" w:hAnsi="Calibri" w:cs="Helvetica"/>
          <w:b/>
          <w:bCs/>
          <w:caps/>
          <w:color w:val="000000"/>
          <w:sz w:val="40"/>
          <w:szCs w:val="40"/>
          <w:lang w:eastAsia="hr-HR"/>
        </w:rPr>
        <w:t>MINISTARSTVO MORA, PROMETA I INFRASTRUKTURE</w:t>
      </w:r>
    </w:p>
    <w:p w:rsidR="005D513C" w:rsidRPr="005D513C" w:rsidRDefault="005D513C" w:rsidP="005D513C">
      <w:pPr>
        <w:spacing w:before="100" w:beforeAutospacing="1" w:after="225" w:line="336" w:lineRule="atLeast"/>
        <w:jc w:val="right"/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</w:pPr>
      <w:r w:rsidRPr="005D513C">
        <w:rPr>
          <w:rFonts w:ascii="Calibri" w:eastAsia="Times New Roman" w:hAnsi="Calibri" w:cs="Helvetica"/>
          <w:b/>
          <w:bCs/>
          <w:color w:val="000000"/>
          <w:sz w:val="26"/>
          <w:szCs w:val="26"/>
          <w:lang w:eastAsia="hr-HR"/>
        </w:rPr>
        <w:t>2081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Na temelju članka 63. stavka 4. Zakona o javnim cestama (»Narodne novine«, br. 180/04, 82/06, 138/06, 146/08, 152/08, 38/09, 124/09 i 153/09), ministar mora, prometa i infrastrukture donosi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36"/>
          <w:szCs w:val="36"/>
          <w:lang w:eastAsia="hr-HR"/>
        </w:rPr>
      </w:pPr>
      <w:r w:rsidRPr="005D513C">
        <w:rPr>
          <w:rFonts w:ascii="Calibri" w:eastAsia="Times New Roman" w:hAnsi="Calibri" w:cs="Helvetica"/>
          <w:b/>
          <w:bCs/>
          <w:color w:val="000000"/>
          <w:sz w:val="36"/>
          <w:szCs w:val="36"/>
          <w:lang w:eastAsia="hr-HR"/>
        </w:rPr>
        <w:t>PRAVILNIK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color w:val="000000"/>
          <w:sz w:val="28"/>
          <w:szCs w:val="28"/>
          <w:lang w:eastAsia="hr-HR"/>
        </w:rPr>
      </w:pPr>
      <w:r w:rsidRPr="005D513C">
        <w:rPr>
          <w:rFonts w:ascii="Calibri" w:eastAsia="Times New Roman" w:hAnsi="Calibri" w:cs="Helvetica"/>
          <w:b/>
          <w:bCs/>
          <w:color w:val="000000"/>
          <w:sz w:val="28"/>
          <w:szCs w:val="28"/>
          <w:lang w:eastAsia="hr-HR"/>
        </w:rPr>
        <w:t>O MJERILIMA ZA IZRAČUN NAKNADE ZA IZVANREDNI PRIJEVOZ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I. OPĆE ODREDBE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1.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Ovim Pravilnikom propisuju se mjerila za izračun naknade za izvanredni prijevoz.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2.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(1) Naknada za izvanredni prijevoz (u daljnjem tekstu: naknada) obračunava se i naplaćuje za izvanredni prijevoz vozilima koja sama ili zajedno s teretom premašuju propisane dimenzije ili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ukup-nu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masu, odnosno propisana osovinska opterećenja.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(2) Naknadu iz stavaka 1. ovoga članka plaća prijevoznik, odnosno vlasnik motornog vozila koje obavlja izvanredni prijevoz.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3.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(1) Naknada se plaća za izvanredne prijevoze koji se obavljaju po javnim cestama Republike Hrvatske.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(2) Za izvanredni prijevoz koji se obavlja radi izvoza hrvatskih proizvoda iz Republike Hrvatske, naknada propisana ovim Pravilnikom obračunava se umanjena za 50% iznosa.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II. MJERILA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4.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Mjerila za izračun naknade iskazuju se: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lastRenderedPageBreak/>
        <w:t xml:space="preserve">– u postotku, za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premašenje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najveće dopuštene duljine vozila, mjereći po uzdužnoj simetrali od najizbočenijih točaka vozila odnosno skupa vozila s teretom,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– u metrima, za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premašenje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najveće dopuštene širine i visine vozila odnosno skupa vozila, mjereći po poprečnoj simetrali od najizbočenijih točaka vozila odnosno skupa vozila s teretom, odnosno po vertikalnoj simetrali, mjereći od površine kolnika do najviše točke vozila odnosno skupa vozila s teretom,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– u tonama, za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premašenje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propisane ukupne mase i osovinskih opterećenja vozila, odnosno skupa vozila.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5.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(1) Za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premašenje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najveće dopuštene duljine naknada iznosi: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– za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premašenje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veće od 5% – ≤ 20% – 0,60 kn/km,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– za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premašenje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veće od 20% – 1,20 kn/km.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(2) Pri obračunu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premašenja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iz stavka 1. ovoga članka, obračunava se odgovarajuća naknada samo za najveću premašenu vrijednost.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6.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(1) Za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premašenje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najveće dopuštene širine vozila naknada iznosi: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za širinu jednaku ili manju od 3,00 m – 0,60 kn/km,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za širinu veću od 3,00 m do jednaku ili manju od 4,00 m – 1,20 kn/km,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za širinu veću od 4,00 m – 1,70 kn/km.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(2) Pri obračunu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premašenja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iz stavka 1. ovoga članka, obračunava se odgovarajuća naknada samo za najveću premašenu vrijednost iznad propisane širine uvećane za 1% dopuštenog odstupanja.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7.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(1) Za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premašenje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najveće dopuštene visine vozila, naknada iznosi: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za visinu veću od 4,05 m – ≤ 4,50 m – 0,60 kn/km,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za visinu veću od 4,50 m – 1,20 kn/km.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lastRenderedPageBreak/>
        <w:t xml:space="preserve">(2) Pri obračunu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premašenja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iz stavka 1. ovoga članka, obračunava se odgovarajuća naknada samo za najveću premašenu vrijednost.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8.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(1) Za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premašenje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ukupne mase vozila ili skupa vozila iznad 40 t, odnosno iznad 44 t za troosovinsko motorno vozilo s dvoosovinskom ili troosovinskom poluprikolicom kada prevozi 40-stopni ISO kontejner kao kombiniranu prijevoznu operaciju, primjenjuje se naknada prema Tablici 1. u prilogu ovog Pravilnika koja čini njegov sastavni dio.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(2)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Premašenja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mase iz stavka 1. ovoga članka, čije vrijednosti završavaju do 0,5 t zaokružuju se na manju vrijednost, a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premašenja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mase čije vrijednosti završavaju iznad 0,5 t, zaokružuju se na veću vrijednost.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9.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(1) Za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premašenje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najvećeg dopuštenog osovinskog opterećenja motornog vozila odnosno skupa vozila, primjenjuje se naknada prema Tablici 2. tiskanoj uz ovaj Pravilnika koja čini njegov sastavni dio.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(2) Naknada iz stavka 1. ovoga članka, izračunava se na sljedeći način: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za jednostruke osovine, prema formuli: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</w:pPr>
      <w:r w:rsidRPr="005D513C">
        <w:rPr>
          <w:rFonts w:ascii="Calibri" w:eastAsia="Times New Roman" w:hAnsi="Calibri" w:cs="Helvetica"/>
          <w:noProof/>
          <w:color w:val="000000"/>
          <w:sz w:val="26"/>
          <w:szCs w:val="26"/>
          <w:lang w:eastAsia="hr-HR"/>
        </w:rPr>
        <w:drawing>
          <wp:inline distT="0" distB="0" distL="0" distR="0">
            <wp:extent cx="1143000" cy="390525"/>
            <wp:effectExtent l="0" t="0" r="0" b="9525"/>
            <wp:docPr id="7" name="Picture 7" descr="https://narodne-novine.nn.hr/clanci/sluzbeni/dodatni/40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clanci/sluzbeni/dodatni/4092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odnosno gdje se od stvarnog osovinskog opterećenja svake osovine (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Sjo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) oduzme dopušteno osovinsko opterećenje (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Djo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) te se za dobivenu vrijednost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premašenja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(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Pjo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) očita odgovarajuća naknada iz Tablice 2. ovoga Pravilnika,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– za dvostruke, trostruke i višestruke osovine, prema formuli: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</w:pPr>
      <w:r w:rsidRPr="005D513C">
        <w:rPr>
          <w:rFonts w:ascii="Calibri" w:eastAsia="Times New Roman" w:hAnsi="Calibri" w:cs="Helvetica"/>
          <w:noProof/>
          <w:color w:val="000000"/>
          <w:sz w:val="26"/>
          <w:szCs w:val="26"/>
          <w:lang w:eastAsia="hr-HR"/>
        </w:rPr>
        <w:drawing>
          <wp:inline distT="0" distB="0" distL="0" distR="0">
            <wp:extent cx="1428750" cy="571500"/>
            <wp:effectExtent l="0" t="0" r="0" b="0"/>
            <wp:docPr id="6" name="Picture 6" descr="https://narodne-novine.nn.hr/clanci/sluzbeni/dodatni/409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clanci/sluzbeni/dodatni/4092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odnosno gdje se od stvarnog osovinskog opterećenja dvostruke, trostruke ili višestruke osovine (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Ssko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) oduzme dopušteno osovinsko opterećenje (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Dsko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), podijeli s brojem osovina u njenom sastavu, te se za tako dobivenu vrijednost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premašenja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(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Psko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) očita odgovarajuća naknada iz Tablice 2. ovoga Pravilnika.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lastRenderedPageBreak/>
        <w:t xml:space="preserve">(3) Dobivena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premašenja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iz stavka 2. ovoga članka, čije vrijednosti završavaju do 0,05 tona, zaokružuje se na manju vrijednost, a dobivena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premašenja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koja završavaju iznad 0,05 tona, zaokružuju se na veću vrijednost.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(4) Zbroj očitanih naknada za osovine, odnosno skupine osovina iz stavka 2. ovoga članka, čini ukupnu naknadu za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premašenje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osovinskog opterećenja.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10.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(1) Ukupna naknada izračuna se tako, da se naknada za pojedino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premašenje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(kn/km) pomnoži s udaljenošću (km) od polazišta do odredišta izvanrednog prijevoza.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(2) Ako motorno vozilo ili skup vozila sa ili bez tereta premašuje više dopuštenih vrijednosti, ukupna naknada izračuna se tako, da se naknade za svako pojedino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premašenje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(kn/km) zbroje i pomnože s udaljenošću (km) od polazišta do odredišta izvanrednog prijevoza.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(3) Pri izračunu ukupno prijeđenih kilometara izvanrednog prijevoza, svaki započeti kilometar, uzima se kao puni kilometar.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(4) Naknada se ne obračunava za izvanredne prijevoze kod kojih ukupna masa i/ili osovinsko opterećenje premašuju dopuštene veličine do maksimalno 3%, uz uvjet da, zbog karakteristika tereta i drugih opravdanih okolnosti, na mjestu utovara nije bilo moguće utvrditi točnu masu tereta.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(5) Iznosi naknada propisanih ovim Pravilnikom utvrđeni su bez poreza na dodanu vrijednost.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8"/>
          <w:szCs w:val="28"/>
          <w:lang w:eastAsia="hr-HR"/>
        </w:rPr>
        <w:t>III. PRIJELAZNE I ZAVRŠNE ODREDBE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11.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Danom stupanja na snagu ovoga Pravilnika, prestaje važiti Pravilnik o mjerilima za izračun naknade za izvanredni prijevoz i prekomjernu uporabu javne ceste (»Narodne novine« br. 119/07).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Članak 12.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Klasa: 011-01/10-02/46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Urbroj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: 530-07-10-1</w:t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Zagreb, 28. svibnja 2010.</w:t>
      </w:r>
    </w:p>
    <w:p w:rsidR="005D513C" w:rsidRPr="005D513C" w:rsidRDefault="005D513C" w:rsidP="005D513C">
      <w:pPr>
        <w:spacing w:before="100" w:beforeAutospacing="1" w:after="225" w:line="336" w:lineRule="atLeast"/>
        <w:ind w:left="7344"/>
        <w:jc w:val="center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lastRenderedPageBreak/>
        <w:t>Ministar</w:t>
      </w: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br/>
      </w:r>
      <w:r w:rsidRPr="005D513C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hr-HR"/>
        </w:rPr>
        <w:t xml:space="preserve">Božidar </w:t>
      </w:r>
      <w:proofErr w:type="spellStart"/>
      <w:r w:rsidRPr="005D513C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hr-HR"/>
        </w:rPr>
        <w:t>Kalmeta</w:t>
      </w:r>
      <w:proofErr w:type="spellEnd"/>
      <w:r w:rsidRPr="005D513C">
        <w:rPr>
          <w:rFonts w:ascii="Calibri" w:eastAsia="Times New Roman" w:hAnsi="Calibri" w:cs="Helvetica"/>
          <w:b/>
          <w:bCs/>
          <w:color w:val="000000"/>
          <w:sz w:val="24"/>
          <w:szCs w:val="24"/>
          <w:lang w:eastAsia="hr-HR"/>
        </w:rPr>
        <w:t xml:space="preserve">, </w:t>
      </w: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v. r.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i/>
          <w:iCs/>
          <w:color w:val="000000"/>
          <w:sz w:val="26"/>
          <w:szCs w:val="26"/>
          <w:lang w:eastAsia="hr-HR"/>
        </w:rPr>
      </w:pPr>
      <w:r w:rsidRPr="005D513C">
        <w:rPr>
          <w:rFonts w:ascii="Calibri" w:eastAsia="Times New Roman" w:hAnsi="Calibri" w:cs="Helvetica"/>
          <w:i/>
          <w:iCs/>
          <w:color w:val="000000"/>
          <w:sz w:val="26"/>
          <w:szCs w:val="26"/>
          <w:lang w:eastAsia="hr-HR"/>
        </w:rPr>
        <w:t>Tablica 1.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</w:pPr>
      <w:r w:rsidRPr="005D513C">
        <w:rPr>
          <w:rFonts w:ascii="Calibri" w:eastAsia="Times New Roman" w:hAnsi="Calibri" w:cs="Helvetica"/>
          <w:noProof/>
          <w:color w:val="000000"/>
          <w:sz w:val="26"/>
          <w:szCs w:val="26"/>
          <w:lang w:eastAsia="hr-HR"/>
        </w:rPr>
        <w:drawing>
          <wp:inline distT="0" distB="0" distL="0" distR="0">
            <wp:extent cx="4514850" cy="5391150"/>
            <wp:effectExtent l="0" t="0" r="0" b="0"/>
            <wp:docPr id="5" name="Picture 5" descr="https://narodne-novine.nn.hr/clanci/sluzbeni/dodatni/4092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clanci/sluzbeni/dodatni/40925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3C" w:rsidRPr="005D513C" w:rsidRDefault="005D513C" w:rsidP="005D513C">
      <w:pPr>
        <w:spacing w:before="100" w:beforeAutospacing="1" w:after="225" w:line="336" w:lineRule="atLeast"/>
        <w:jc w:val="both"/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Za </w:t>
      </w:r>
      <w:proofErr w:type="spellStart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>premašenja</w:t>
      </w:r>
      <w:proofErr w:type="spellEnd"/>
      <w:r w:rsidRPr="005D513C">
        <w:rPr>
          <w:rFonts w:ascii="Calibri" w:eastAsia="Times New Roman" w:hAnsi="Calibri" w:cs="Helvetica"/>
          <w:color w:val="000000"/>
          <w:sz w:val="24"/>
          <w:szCs w:val="24"/>
          <w:lang w:eastAsia="hr-HR"/>
        </w:rPr>
        <w:t xml:space="preserve"> veća od 160 t obračunava se 794,00 kn/km + 6,20 kn/km za svaku sljedeću tonu.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i/>
          <w:iCs/>
          <w:color w:val="000000"/>
          <w:sz w:val="26"/>
          <w:szCs w:val="26"/>
          <w:lang w:eastAsia="hr-HR"/>
        </w:rPr>
      </w:pPr>
      <w:r w:rsidRPr="005D513C">
        <w:rPr>
          <w:rFonts w:ascii="Calibri" w:eastAsia="Times New Roman" w:hAnsi="Calibri" w:cs="Helvetica"/>
          <w:i/>
          <w:iCs/>
          <w:color w:val="000000"/>
          <w:sz w:val="26"/>
          <w:szCs w:val="26"/>
          <w:lang w:eastAsia="hr-HR"/>
        </w:rPr>
        <w:t>Tablica 2.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  <w:t>JEDNOSTRUKE OSOVINE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</w:pPr>
      <w:r w:rsidRPr="005D513C">
        <w:rPr>
          <w:rFonts w:ascii="Calibri" w:eastAsia="Times New Roman" w:hAnsi="Calibri" w:cs="Helvetica"/>
          <w:noProof/>
          <w:color w:val="000000"/>
          <w:sz w:val="26"/>
          <w:szCs w:val="26"/>
          <w:lang w:eastAsia="hr-HR"/>
        </w:rPr>
        <w:lastRenderedPageBreak/>
        <w:drawing>
          <wp:inline distT="0" distB="0" distL="0" distR="0">
            <wp:extent cx="4343400" cy="2143125"/>
            <wp:effectExtent l="0" t="0" r="0" b="9525"/>
            <wp:docPr id="4" name="Picture 4" descr="https://narodne-novine.nn.hr/clanci/sluzbeni/dodatni/4092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clanci/sluzbeni/dodatni/40926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  <w:t>DVOSTRUKE OSOVINE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</w:pPr>
      <w:r w:rsidRPr="005D513C">
        <w:rPr>
          <w:rFonts w:ascii="Calibri" w:eastAsia="Times New Roman" w:hAnsi="Calibri" w:cs="Helvetica"/>
          <w:noProof/>
          <w:color w:val="000000"/>
          <w:sz w:val="26"/>
          <w:szCs w:val="26"/>
          <w:lang w:eastAsia="hr-HR"/>
        </w:rPr>
        <w:drawing>
          <wp:inline distT="0" distB="0" distL="0" distR="0">
            <wp:extent cx="4343400" cy="2162175"/>
            <wp:effectExtent l="0" t="0" r="0" b="9525"/>
            <wp:docPr id="3" name="Picture 3" descr="https://narodne-novine.nn.hr/clanci/sluzbeni/dodatni/4092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rodne-novine.nn.hr/clanci/sluzbeni/dodatni/40926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  <w:t>TROSTRUKE OSOVINE</w:t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</w:pPr>
      <w:r w:rsidRPr="005D513C">
        <w:rPr>
          <w:rFonts w:ascii="Calibri" w:eastAsia="Times New Roman" w:hAnsi="Calibri" w:cs="Helvetica"/>
          <w:noProof/>
          <w:color w:val="000000"/>
          <w:sz w:val="26"/>
          <w:szCs w:val="26"/>
          <w:lang w:eastAsia="hr-HR"/>
        </w:rPr>
        <w:drawing>
          <wp:inline distT="0" distB="0" distL="0" distR="0">
            <wp:extent cx="4391025" cy="2143125"/>
            <wp:effectExtent l="0" t="0" r="9525" b="9525"/>
            <wp:docPr id="2" name="Picture 2" descr="https://narodne-novine.nn.hr/clanci/sluzbeni/dodatni/4092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rodne-novine.nn.hr/clanci/sluzbeni/dodatni/40926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3C" w:rsidRPr="005D513C" w:rsidRDefault="005D513C" w:rsidP="005D513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</w:pPr>
      <w:r w:rsidRPr="005D513C"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  <w:t>VIŠESTRUKE OSOVINE (ČETIRI I VIŠE OSOVINA)</w:t>
      </w:r>
    </w:p>
    <w:p w:rsidR="005D513C" w:rsidRPr="005D513C" w:rsidRDefault="005D513C" w:rsidP="005D513C">
      <w:pPr>
        <w:spacing w:before="100" w:beforeAutospacing="1" w:line="336" w:lineRule="atLeast"/>
        <w:jc w:val="center"/>
        <w:rPr>
          <w:rFonts w:ascii="Calibri" w:eastAsia="Times New Roman" w:hAnsi="Calibri" w:cs="Helvetica"/>
          <w:color w:val="000000"/>
          <w:sz w:val="26"/>
          <w:szCs w:val="26"/>
          <w:lang w:eastAsia="hr-HR"/>
        </w:rPr>
      </w:pPr>
      <w:r w:rsidRPr="005D513C">
        <w:rPr>
          <w:rFonts w:ascii="Calibri" w:eastAsia="Times New Roman" w:hAnsi="Calibri" w:cs="Helvetica"/>
          <w:noProof/>
          <w:color w:val="000000"/>
          <w:sz w:val="26"/>
          <w:szCs w:val="26"/>
          <w:lang w:eastAsia="hr-HR"/>
        </w:rPr>
        <w:lastRenderedPageBreak/>
        <w:drawing>
          <wp:inline distT="0" distB="0" distL="0" distR="0">
            <wp:extent cx="4391025" cy="2162175"/>
            <wp:effectExtent l="0" t="0" r="9525" b="9525"/>
            <wp:docPr id="1" name="Picture 1" descr="https://narodne-novine.nn.hr/clanci/sluzbeni/dodatni/4092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e-novine.nn.hr/clanci/sluzbeni/dodatni/40926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3C" w:rsidRDefault="005D513C"/>
    <w:sectPr w:rsidR="005D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3C"/>
    <w:rsid w:val="005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3F8EB-2CD7-4FAE-9C7E-9639D015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513C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5D5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513C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D513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4">
    <w:name w:val="tb-na184"/>
    <w:basedOn w:val="Normal"/>
    <w:rsid w:val="005D513C"/>
    <w:pPr>
      <w:spacing w:before="100" w:beforeAutospacing="1" w:after="225" w:line="336" w:lineRule="atLeast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hr-HR"/>
    </w:rPr>
  </w:style>
  <w:style w:type="character" w:customStyle="1" w:styleId="bold1">
    <w:name w:val="bold1"/>
    <w:basedOn w:val="DefaultParagraphFont"/>
    <w:rsid w:val="005D5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6959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9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912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977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0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69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321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bbajic</dc:creator>
  <cp:keywords/>
  <dc:description/>
  <cp:lastModifiedBy>bbajic</cp:lastModifiedBy>
  <cp:revision>1</cp:revision>
  <dcterms:created xsi:type="dcterms:W3CDTF">2017-11-16T11:37:00Z</dcterms:created>
  <dcterms:modified xsi:type="dcterms:W3CDTF">2017-11-16T11:38:00Z</dcterms:modified>
</cp:coreProperties>
</file>